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357C9" w14:textId="144BE793" w:rsidR="0066048F" w:rsidRDefault="0066048F" w:rsidP="0066048F">
      <w:pPr>
        <w:spacing w:after="199" w:line="276" w:lineRule="auto"/>
        <w:ind w:left="0" w:firstLine="0"/>
        <w:jc w:val="center"/>
      </w:pPr>
      <w:r>
        <w:rPr>
          <w:b/>
        </w:rPr>
        <w:t>Zezwolenie na pobyt czasowy – mobilność ICT (przeniesienie wewnątrz przedsiębiorstwa)</w:t>
      </w:r>
      <w:r>
        <w:t xml:space="preserve">- Karta informacyjna </w:t>
      </w:r>
    </w:p>
    <w:p w14:paraId="4CEB8493" w14:textId="77777777" w:rsidR="0066048F" w:rsidRDefault="0066048F" w:rsidP="0066048F">
      <w:pPr>
        <w:spacing w:after="217" w:line="256" w:lineRule="auto"/>
        <w:ind w:left="0" w:firstLine="0"/>
        <w:jc w:val="left"/>
      </w:pPr>
      <w:r>
        <w:t xml:space="preserve">  </w:t>
      </w:r>
    </w:p>
    <w:p w14:paraId="09FB750C" w14:textId="058D4337" w:rsidR="0066048F" w:rsidRPr="0066048F" w:rsidRDefault="0066048F" w:rsidP="0066048F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66048F">
        <w:rPr>
          <w:rFonts w:asciiTheme="minorHAnsi" w:hAnsiTheme="minorHAnsi" w:cstheme="minorHAnsi"/>
          <w:sz w:val="20"/>
          <w:szCs w:val="20"/>
        </w:rPr>
        <w:t xml:space="preserve">Procedury </w:t>
      </w:r>
      <w:r w:rsidRPr="0066048F">
        <w:rPr>
          <w:rStyle w:val="Pogrubienie"/>
          <w:rFonts w:asciiTheme="minorHAnsi" w:hAnsiTheme="minorHAnsi" w:cstheme="minorHAnsi"/>
          <w:b w:val="0"/>
          <w:sz w:val="20"/>
          <w:szCs w:val="20"/>
        </w:rPr>
        <w:t>przeniesienia wewnątrz przedsiębiorstwa</w:t>
      </w:r>
      <w:r w:rsidRPr="0066048F">
        <w:rPr>
          <w:rFonts w:asciiTheme="minorHAnsi" w:hAnsiTheme="minorHAnsi" w:cstheme="minorHAnsi"/>
          <w:sz w:val="20"/>
          <w:szCs w:val="20"/>
        </w:rPr>
        <w:t xml:space="preserve"> </w:t>
      </w:r>
      <w:r w:rsidRPr="0066048F">
        <w:rPr>
          <w:rStyle w:val="Pogrubienie"/>
          <w:rFonts w:asciiTheme="minorHAnsi" w:hAnsiTheme="minorHAnsi" w:cstheme="minorHAnsi"/>
          <w:b w:val="0"/>
          <w:sz w:val="20"/>
          <w:szCs w:val="20"/>
        </w:rPr>
        <w:t>oraz mobilności krótko- i długoterminowej</w:t>
      </w:r>
      <w:r w:rsidRPr="0066048F">
        <w:rPr>
          <w:rFonts w:asciiTheme="minorHAnsi" w:hAnsiTheme="minorHAnsi" w:cstheme="minorHAnsi"/>
          <w:sz w:val="20"/>
          <w:szCs w:val="20"/>
        </w:rPr>
        <w:t xml:space="preserve"> dotyczą cudzoziemców, których celem jest </w:t>
      </w:r>
      <w:r w:rsidRPr="0066048F">
        <w:rPr>
          <w:rStyle w:val="Pogrubienie"/>
          <w:rFonts w:asciiTheme="minorHAnsi" w:hAnsiTheme="minorHAnsi" w:cstheme="minorHAnsi"/>
          <w:b w:val="0"/>
          <w:sz w:val="20"/>
          <w:szCs w:val="20"/>
        </w:rPr>
        <w:t>wykonywanie pracy w charakterze pracownika kadry kierowniczej, specjalisty</w:t>
      </w:r>
      <w:r w:rsidRPr="0066048F">
        <w:rPr>
          <w:rFonts w:asciiTheme="minorHAnsi" w:hAnsiTheme="minorHAnsi" w:cstheme="minorHAnsi"/>
          <w:sz w:val="20"/>
          <w:szCs w:val="20"/>
        </w:rPr>
        <w:t xml:space="preserve"> lub </w:t>
      </w:r>
      <w:r w:rsidRPr="0066048F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pracownika odbywającego staż </w:t>
      </w:r>
      <w:r w:rsidRPr="0066048F">
        <w:rPr>
          <w:rFonts w:asciiTheme="minorHAnsi" w:hAnsiTheme="minorHAnsi" w:cstheme="minorHAnsi"/>
          <w:sz w:val="20"/>
          <w:szCs w:val="20"/>
        </w:rPr>
        <w:t>w tzw</w:t>
      </w:r>
      <w:r w:rsidRPr="0066048F">
        <w:rPr>
          <w:rStyle w:val="Pogrubienie"/>
          <w:rFonts w:asciiTheme="minorHAnsi" w:hAnsiTheme="minorHAnsi" w:cstheme="minorHAnsi"/>
          <w:b w:val="0"/>
          <w:sz w:val="20"/>
          <w:szCs w:val="20"/>
        </w:rPr>
        <w:t>. jednostce przyjmującej.</w:t>
      </w:r>
    </w:p>
    <w:p w14:paraId="0EC5FE5E" w14:textId="77777777" w:rsidR="0066048F" w:rsidRPr="0066048F" w:rsidRDefault="0066048F" w:rsidP="0066048F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66048F">
        <w:rPr>
          <w:rStyle w:val="Pogrubienie"/>
          <w:rFonts w:asciiTheme="minorHAnsi" w:hAnsiTheme="minorHAnsi" w:cstheme="minorHAnsi"/>
          <w:b w:val="0"/>
          <w:sz w:val="20"/>
          <w:szCs w:val="20"/>
        </w:rPr>
        <w:t>Cudzoziemiec jest czasowo oddelegowany do jednostki przyjmującej przez pracodawcę macierzystego, mającego siedzibę poza terytorium państw członkowskich Unii Europejskiej</w:t>
      </w:r>
      <w:r w:rsidRPr="0066048F">
        <w:rPr>
          <w:rFonts w:asciiTheme="minorHAnsi" w:hAnsiTheme="minorHAnsi" w:cstheme="minorHAnsi"/>
          <w:sz w:val="20"/>
          <w:szCs w:val="20"/>
        </w:rPr>
        <w:t xml:space="preserve">, Europejskiego Porozumienia Wolnego Handlu (EFTA), stron umowy o Europejskim Obszarze Gospodarczym lub Konfederacji Szwajcarskiej. </w:t>
      </w:r>
      <w:r w:rsidRPr="0066048F">
        <w:rPr>
          <w:rStyle w:val="Pogrubienie"/>
          <w:rFonts w:asciiTheme="minorHAnsi" w:hAnsiTheme="minorHAnsi" w:cstheme="minorHAnsi"/>
          <w:b w:val="0"/>
          <w:sz w:val="20"/>
          <w:szCs w:val="20"/>
        </w:rPr>
        <w:t>Jednostka przyjmująca  musi pozostawać w związkach kapitałowo-organizacyjnych z tym podmiotem</w:t>
      </w:r>
      <w:r w:rsidRPr="0066048F">
        <w:rPr>
          <w:rFonts w:asciiTheme="minorHAnsi" w:hAnsiTheme="minorHAnsi" w:cstheme="minorHAnsi"/>
          <w:sz w:val="20"/>
          <w:szCs w:val="20"/>
        </w:rPr>
        <w:t xml:space="preserve"> – w szczególności być oddziałem lub przedstawicielstwem pracodawcy macierzystego lub należeć do tej samej grupy przedsiębiorstw co pracodawca macierzysty.</w:t>
      </w:r>
    </w:p>
    <w:p w14:paraId="347F8C82" w14:textId="2AF793B0" w:rsidR="0066048F" w:rsidRPr="0066048F" w:rsidRDefault="0066048F" w:rsidP="0066048F">
      <w:pPr>
        <w:pStyle w:val="NormalnyWeb"/>
        <w:rPr>
          <w:rFonts w:asciiTheme="minorHAnsi" w:hAnsiTheme="minorHAnsi" w:cstheme="minorHAnsi"/>
          <w:sz w:val="20"/>
          <w:szCs w:val="20"/>
        </w:rPr>
      </w:pPr>
      <w:r>
        <w:t> </w:t>
      </w:r>
      <w:r w:rsidRPr="0066048F">
        <w:rPr>
          <w:rStyle w:val="Pogrubienie"/>
          <w:rFonts w:asciiTheme="minorHAnsi" w:hAnsiTheme="minorHAnsi" w:cstheme="minorHAnsi"/>
          <w:b w:val="0"/>
          <w:sz w:val="20"/>
          <w:szCs w:val="20"/>
        </w:rPr>
        <w:t>Przeniesienie wewnątrz przedsiębiorstwa:</w:t>
      </w:r>
    </w:p>
    <w:p w14:paraId="1C3E1917" w14:textId="77777777" w:rsidR="0066048F" w:rsidRPr="0066048F" w:rsidRDefault="0066048F" w:rsidP="0066048F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66048F">
        <w:rPr>
          <w:rFonts w:asciiTheme="minorHAnsi" w:hAnsiTheme="minorHAnsi" w:cstheme="minorHAnsi"/>
          <w:sz w:val="20"/>
          <w:szCs w:val="20"/>
        </w:rPr>
        <w:t xml:space="preserve">Wniosek o udzielenie </w:t>
      </w:r>
      <w:r w:rsidRPr="0066048F">
        <w:rPr>
          <w:rStyle w:val="Pogrubienie"/>
          <w:rFonts w:asciiTheme="minorHAnsi" w:hAnsiTheme="minorHAnsi" w:cstheme="minorHAnsi"/>
          <w:b w:val="0"/>
          <w:sz w:val="20"/>
          <w:szCs w:val="20"/>
        </w:rPr>
        <w:t>zezwolenia na pobyt czasowy cudzoziemcowi w celu wykonywania pracy w ramach przeniesienia wewnątrz przedsiębiorstwa</w:t>
      </w:r>
      <w:r w:rsidRPr="0066048F">
        <w:rPr>
          <w:rFonts w:asciiTheme="minorHAnsi" w:hAnsiTheme="minorHAnsi" w:cstheme="minorHAnsi"/>
          <w:sz w:val="20"/>
          <w:szCs w:val="20"/>
        </w:rPr>
        <w:t xml:space="preserve"> składa </w:t>
      </w:r>
      <w:r w:rsidRPr="0066048F">
        <w:rPr>
          <w:rStyle w:val="Pogrubienie"/>
          <w:rFonts w:asciiTheme="minorHAnsi" w:hAnsiTheme="minorHAnsi" w:cstheme="minorHAnsi"/>
          <w:b w:val="0"/>
          <w:sz w:val="20"/>
          <w:szCs w:val="20"/>
        </w:rPr>
        <w:t>osoba działająca w imieniu i na rzecz jednostki przyjmującej, mającej siedzibę na terytorium RP</w:t>
      </w:r>
      <w:r w:rsidRPr="0066048F">
        <w:rPr>
          <w:rFonts w:asciiTheme="minorHAnsi" w:hAnsiTheme="minorHAnsi" w:cstheme="minorHAnsi"/>
          <w:sz w:val="20"/>
          <w:szCs w:val="20"/>
        </w:rPr>
        <w:t>, do wojewody właściwego ze względu na siedzibę jednostki przyjmującej.</w:t>
      </w:r>
    </w:p>
    <w:p w14:paraId="1555543C" w14:textId="76E9A2CC" w:rsidR="0066048F" w:rsidRDefault="0066048F" w:rsidP="0066048F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66048F">
        <w:rPr>
          <w:rStyle w:val="Pogrubienie"/>
          <w:rFonts w:asciiTheme="minorHAnsi" w:hAnsiTheme="minorHAnsi" w:cstheme="minorHAnsi"/>
          <w:b w:val="0"/>
          <w:sz w:val="20"/>
          <w:szCs w:val="20"/>
        </w:rPr>
        <w:t>Cudzoziemiec musi przebywać poza terytorium państw członkowskich UE</w:t>
      </w:r>
      <w:r w:rsidRPr="0066048F">
        <w:rPr>
          <w:rFonts w:asciiTheme="minorHAnsi" w:hAnsiTheme="minorHAnsi" w:cstheme="minorHAnsi"/>
          <w:sz w:val="20"/>
          <w:szCs w:val="20"/>
        </w:rPr>
        <w:t>. Po wydaniu mu zezwolenia będzie mógł uzyskać wizę w celu jego realizacji, a </w:t>
      </w:r>
      <w:r w:rsidRPr="0066048F">
        <w:rPr>
          <w:rStyle w:val="Pogrubienie"/>
          <w:rFonts w:asciiTheme="minorHAnsi" w:hAnsiTheme="minorHAnsi" w:cstheme="minorHAnsi"/>
          <w:b w:val="0"/>
          <w:sz w:val="20"/>
          <w:szCs w:val="20"/>
        </w:rPr>
        <w:t>po przybyciu do Polski powinien złożyć wniosek o wydanie karty pobytu. Karta Pobytu cudzoziemca będzie miała adnotację „ICT</w:t>
      </w:r>
      <w:r w:rsidRPr="0066048F">
        <w:rPr>
          <w:rFonts w:asciiTheme="minorHAnsi" w:hAnsiTheme="minorHAnsi" w:cstheme="minorHAnsi"/>
          <w:sz w:val="20"/>
          <w:szCs w:val="20"/>
        </w:rPr>
        <w:t>” i umożliwia korzystanie z mobilności w państwach członkowskich UE stosujących dyrektywę 2014/66/UE (szczegółowych informacji na temat zasad korzystania z ww. dyrektywy mogą udzielić właściwe organy migracyjne w tych państwach).</w:t>
      </w:r>
    </w:p>
    <w:p w14:paraId="6FCF1588" w14:textId="77777777" w:rsidR="0066048F" w:rsidRDefault="0066048F" w:rsidP="0066048F">
      <w:pPr>
        <w:spacing w:after="205"/>
        <w:ind w:left="-5"/>
      </w:pPr>
      <w:r>
        <w:rPr>
          <w:b/>
        </w:rPr>
        <w:t>Podstawa prawna:</w:t>
      </w:r>
      <w:r>
        <w:t xml:space="preserve"> Ustawa z dnia 12 grudnia 2013 r. o cudzoziemcach (tj. Dz.U. z 2018 poz. 2094 ze zm.) wraz       z aktami wykonawczymi. </w:t>
      </w:r>
    </w:p>
    <w:p w14:paraId="767A0108" w14:textId="77777777" w:rsidR="0066048F" w:rsidRDefault="0066048F" w:rsidP="0066048F">
      <w:pPr>
        <w:spacing w:after="216" w:line="256" w:lineRule="auto"/>
        <w:ind w:left="-5"/>
        <w:jc w:val="left"/>
      </w:pPr>
      <w:r>
        <w:rPr>
          <w:b/>
        </w:rPr>
        <w:t xml:space="preserve">Sposób składania wniosku: </w:t>
      </w:r>
    </w:p>
    <w:p w14:paraId="424F6128" w14:textId="77777777" w:rsidR="0066048F" w:rsidRPr="0066048F" w:rsidRDefault="0066048F" w:rsidP="00660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color w:val="auto"/>
          <w:szCs w:val="20"/>
        </w:rPr>
        <w:t>wniosek o udzielenie zezwolenia na pobyt czasowy cudzoziemcowi w celu wykonywania pracy w ramach przeniesienia wewnątrz przedsiębiorstwa składa osoba działająca w imieniu i na rzecz jednostki przyjmującej</w:t>
      </w:r>
    </w:p>
    <w:p w14:paraId="7A4F1943" w14:textId="77777777" w:rsidR="0066048F" w:rsidRPr="0066048F" w:rsidRDefault="0066048F" w:rsidP="00660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color w:val="auto"/>
          <w:szCs w:val="20"/>
        </w:rPr>
        <w:t>kartę pobytu cudzoziemiec może odebrać tylko osobiście,</w:t>
      </w:r>
    </w:p>
    <w:p w14:paraId="47892875" w14:textId="77777777" w:rsidR="0066048F" w:rsidRPr="0066048F" w:rsidRDefault="0066048F" w:rsidP="00660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color w:val="auto"/>
          <w:szCs w:val="20"/>
        </w:rPr>
        <w:t>zostaną od cudzoziemca pobrane odciski linii papilarnych w celu wydania karty pobytu,</w:t>
      </w:r>
    </w:p>
    <w:p w14:paraId="73E1F9ED" w14:textId="77777777" w:rsidR="0066048F" w:rsidRPr="0066048F" w:rsidRDefault="0066048F" w:rsidP="00660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color w:val="auto"/>
          <w:szCs w:val="20"/>
        </w:rPr>
        <w:t>jeśli w dniu składania wniosku cudzoziemiec nie przebywał na terytorium Rzeczypospolitej Polskiej, po otrzymaniu zezwolenia na pobyt czasowy musi złożyć wniosek o wydanie karty pobytu i oddać odciski linii papilarnych,</w:t>
      </w:r>
    </w:p>
    <w:p w14:paraId="3F3DE8BE" w14:textId="77777777" w:rsidR="0066048F" w:rsidRPr="0066048F" w:rsidRDefault="0066048F" w:rsidP="00660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color w:val="auto"/>
          <w:szCs w:val="20"/>
        </w:rPr>
        <w:t>dokumenty powinnaś/powinieneś złożyć w języku polskim w oryginałach lub w kserokopii wraz z oryginałami do wglądu,</w:t>
      </w:r>
    </w:p>
    <w:p w14:paraId="45168D60" w14:textId="77777777" w:rsidR="0066048F" w:rsidRPr="0066048F" w:rsidRDefault="0066048F" w:rsidP="00660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color w:val="auto"/>
          <w:szCs w:val="20"/>
        </w:rPr>
        <w:t>do dokumentów w języku obcym powinny być sporządzone tłumaczenia na język polski, dokonane przez polskiego tłumacza przysięgłego.</w:t>
      </w:r>
    </w:p>
    <w:p w14:paraId="1749D914" w14:textId="61763296" w:rsidR="0066048F" w:rsidRPr="0066048F" w:rsidRDefault="0066048F" w:rsidP="0066048F">
      <w:pPr>
        <w:spacing w:before="100" w:beforeAutospacing="1" w:after="100" w:afterAutospacing="1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color w:val="auto"/>
          <w:szCs w:val="20"/>
        </w:rPr>
        <w:t> </w:t>
      </w:r>
      <w:r w:rsidRPr="0066048F">
        <w:rPr>
          <w:rFonts w:asciiTheme="minorHAnsi" w:eastAsia="Times New Roman" w:hAnsiTheme="minorHAnsi" w:cstheme="minorHAnsi"/>
          <w:bCs/>
          <w:color w:val="auto"/>
          <w:szCs w:val="20"/>
        </w:rPr>
        <w:t>Wniosek spotka się z odmową wszczęcia postępowania, tj. nie będzie prowadzona sprawa, gdy:</w:t>
      </w:r>
    </w:p>
    <w:p w14:paraId="0719856C" w14:textId="77777777" w:rsidR="0066048F" w:rsidRPr="0066048F" w:rsidRDefault="0066048F" w:rsidP="0066048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color w:val="auto"/>
          <w:szCs w:val="20"/>
        </w:rPr>
        <w:t>pierwszy lub najdłuższy pobyt cudzoziemca na terytorium UE w ramach przeniesienia wewnątrz przedsiębiorstwa ma mieć miejsce na terytorium innego państwa członkowskiego UE;</w:t>
      </w:r>
    </w:p>
    <w:p w14:paraId="792039B4" w14:textId="77777777" w:rsidR="0066048F" w:rsidRPr="0066048F" w:rsidRDefault="0066048F" w:rsidP="0066048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color w:val="auto"/>
          <w:szCs w:val="20"/>
        </w:rPr>
        <w:t>cudzoziemiec w dniu złożenia wniosku ubiega się lub posiada już zezwolenie:</w:t>
      </w:r>
    </w:p>
    <w:p w14:paraId="64529471" w14:textId="77777777" w:rsidR="0066048F" w:rsidRPr="0066048F" w:rsidRDefault="0066048F" w:rsidP="0066048F">
      <w:pPr>
        <w:spacing w:before="100" w:beforeAutospacing="1" w:after="100" w:afterAutospacing="1" w:line="240" w:lineRule="auto"/>
        <w:ind w:left="360" w:firstLine="0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color w:val="auto"/>
          <w:szCs w:val="20"/>
        </w:rPr>
        <w:t>- w celu odbywania stacjonarnych studiów wyższych lub studiów doktoranckich w Polsce,</w:t>
      </w:r>
    </w:p>
    <w:p w14:paraId="4F159C2D" w14:textId="77777777" w:rsidR="0066048F" w:rsidRPr="0066048F" w:rsidRDefault="0066048F" w:rsidP="0066048F">
      <w:pPr>
        <w:spacing w:before="100" w:beforeAutospacing="1" w:after="100" w:afterAutospacing="1" w:line="240" w:lineRule="auto"/>
        <w:ind w:left="360" w:firstLine="0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color w:val="auto"/>
          <w:szCs w:val="20"/>
        </w:rPr>
        <w:lastRenderedPageBreak/>
        <w:t>- w celu prowadzenia badań naukowych;</w:t>
      </w:r>
    </w:p>
    <w:p w14:paraId="0B153E1F" w14:textId="77777777" w:rsidR="0066048F" w:rsidRPr="0066048F" w:rsidRDefault="0066048F" w:rsidP="0066048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color w:val="auto"/>
          <w:szCs w:val="20"/>
        </w:rPr>
        <w:t>cudzoziemiec w dniu złożenia wniosku jest pracownikiem przedsiębiorstwa mającego siedzibę w innym państwie członkowskim UE i jest czasowo oddelegowany przez pracodawcę w celu świadczenia usług na terytorium Polski;</w:t>
      </w:r>
    </w:p>
    <w:p w14:paraId="48FCE196" w14:textId="77777777" w:rsidR="0066048F" w:rsidRPr="0066048F" w:rsidRDefault="0066048F" w:rsidP="0066048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color w:val="auto"/>
          <w:szCs w:val="20"/>
        </w:rPr>
        <w:t>prowadzi działalność gospodarczą;</w:t>
      </w:r>
    </w:p>
    <w:p w14:paraId="2867056B" w14:textId="77777777" w:rsidR="0066048F" w:rsidRPr="0066048F" w:rsidRDefault="0066048F" w:rsidP="0066048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color w:val="auto"/>
          <w:szCs w:val="20"/>
        </w:rPr>
        <w:t>jest zatrudniony przez agencję pracy tymczasowej lub inne przedsiębiorstwo zajmujące się udostępnianiem pracowników do pracy pod nadzorem i kierownictwem innego przedsiębiorstwa lub jest przenoszony wewnątrz przedsiębiorstwa przy udziale podmiotu prowadzącego działalność gospodarczą w zakresie świadczenia usług pośrednictwa pracy;</w:t>
      </w:r>
    </w:p>
    <w:p w14:paraId="1347B01E" w14:textId="77777777" w:rsidR="0066048F" w:rsidRPr="0066048F" w:rsidRDefault="0066048F" w:rsidP="0066048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color w:val="auto"/>
          <w:szCs w:val="20"/>
        </w:rPr>
        <w:t>przebywa na terytorium Polski chyba, że ubiega się o udzielenie kolejnego zezwolenia na pobyt czasowy w celu wykonywania pracy w ramach przeniesienia wewnątrz przedsiębiorstwa;</w:t>
      </w:r>
    </w:p>
    <w:p w14:paraId="403C24FF" w14:textId="77777777" w:rsidR="0066048F" w:rsidRPr="0066048F" w:rsidRDefault="0066048F" w:rsidP="0066048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color w:val="auto"/>
          <w:szCs w:val="20"/>
        </w:rPr>
        <w:t>przebywa na terytorium innego państwa członkowskiego UE.</w:t>
      </w:r>
    </w:p>
    <w:p w14:paraId="1C2A939B" w14:textId="77777777" w:rsidR="0066048F" w:rsidRDefault="0066048F" w:rsidP="0066048F">
      <w:pPr>
        <w:spacing w:after="206"/>
        <w:ind w:left="-5"/>
      </w:pPr>
    </w:p>
    <w:p w14:paraId="286D7155" w14:textId="77777777" w:rsidR="0066048F" w:rsidRDefault="0066048F" w:rsidP="0066048F">
      <w:pPr>
        <w:spacing w:after="216" w:line="256" w:lineRule="auto"/>
        <w:ind w:left="-5"/>
        <w:jc w:val="left"/>
      </w:pPr>
      <w:r>
        <w:rPr>
          <w:b/>
        </w:rPr>
        <w:t xml:space="preserve">Miejsce składania wniosku: </w:t>
      </w:r>
      <w:r>
        <w:t xml:space="preserve"> </w:t>
      </w:r>
    </w:p>
    <w:p w14:paraId="09A1A36C" w14:textId="77777777" w:rsidR="0066048F" w:rsidRDefault="0066048F" w:rsidP="0066048F">
      <w:pPr>
        <w:ind w:left="-5"/>
      </w:pPr>
      <w:r>
        <w:t xml:space="preserve">Wydział Spraw Obywatelskich i Cudzoziemców </w:t>
      </w:r>
    </w:p>
    <w:p w14:paraId="19071C09" w14:textId="77777777" w:rsidR="0066048F" w:rsidRDefault="0066048F" w:rsidP="0066048F">
      <w:pPr>
        <w:ind w:left="-5"/>
      </w:pPr>
      <w:r>
        <w:t xml:space="preserve">Oddział Legalizacji Pobytu Cudzoziemców </w:t>
      </w:r>
    </w:p>
    <w:p w14:paraId="40CB48C8" w14:textId="77777777" w:rsidR="0066048F" w:rsidRDefault="0066048F" w:rsidP="0066048F">
      <w:pPr>
        <w:ind w:left="-5"/>
      </w:pPr>
      <w:r>
        <w:t xml:space="preserve">Warmińsko-Mazurskiego Urzędu Wojewódzkiego w Olsztynie   </w:t>
      </w:r>
    </w:p>
    <w:p w14:paraId="51B3ED62" w14:textId="77777777" w:rsidR="0066048F" w:rsidRDefault="0066048F" w:rsidP="0066048F">
      <w:pPr>
        <w:ind w:left="-5"/>
      </w:pPr>
      <w:r>
        <w:t xml:space="preserve"> Al. M.J. Piłsudskiego 7/9, pok. Nr 7</w:t>
      </w:r>
    </w:p>
    <w:p w14:paraId="7EA6A270" w14:textId="77777777" w:rsidR="0066048F" w:rsidRDefault="0066048F" w:rsidP="0066048F">
      <w:pPr>
        <w:spacing w:after="306"/>
        <w:ind w:left="-5"/>
      </w:pPr>
      <w:r>
        <w:t xml:space="preserve">10-575 Olsztyn </w:t>
      </w:r>
    </w:p>
    <w:tbl>
      <w:tblPr>
        <w:tblStyle w:val="TableGrid"/>
        <w:tblW w:w="6735" w:type="dxa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2835"/>
        <w:gridCol w:w="3900"/>
      </w:tblGrid>
      <w:tr w:rsidR="0066048F" w14:paraId="428BCD90" w14:textId="77777777" w:rsidTr="0066048F">
        <w:trPr>
          <w:trHeight w:val="1880"/>
        </w:trPr>
        <w:tc>
          <w:tcPr>
            <w:tcW w:w="2835" w:type="dxa"/>
            <w:hideMark/>
          </w:tcPr>
          <w:p w14:paraId="59B29AB9" w14:textId="77777777" w:rsidR="0066048F" w:rsidRDefault="0066048F">
            <w:pPr>
              <w:spacing w:after="96" w:line="256" w:lineRule="auto"/>
              <w:ind w:left="0" w:firstLine="0"/>
              <w:jc w:val="left"/>
            </w:pPr>
            <w:bookmarkStart w:id="0" w:name="_Hlk506363992"/>
            <w:r>
              <w:rPr>
                <w:u w:val="single" w:color="000000"/>
              </w:rPr>
              <w:t>telefony oddziału:</w:t>
            </w:r>
            <w:r>
              <w:t xml:space="preserve"> </w:t>
            </w:r>
          </w:p>
          <w:p w14:paraId="33E684BF" w14:textId="77777777" w:rsidR="0066048F" w:rsidRDefault="0066048F">
            <w:pPr>
              <w:spacing w:after="0" w:line="256" w:lineRule="auto"/>
              <w:ind w:left="428" w:firstLine="0"/>
              <w:jc w:val="left"/>
            </w:pPr>
            <w:r>
              <w:t xml:space="preserve">(89) 52 32 612  </w:t>
            </w:r>
          </w:p>
          <w:p w14:paraId="2D7F6F8D" w14:textId="77777777" w:rsidR="0066048F" w:rsidRDefault="0066048F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fax (89) 523 23 07 </w:t>
            </w:r>
          </w:p>
        </w:tc>
        <w:tc>
          <w:tcPr>
            <w:tcW w:w="3900" w:type="dxa"/>
            <w:vAlign w:val="bottom"/>
            <w:hideMark/>
          </w:tcPr>
          <w:p w14:paraId="0CE737BD" w14:textId="77777777" w:rsidR="0066048F" w:rsidRDefault="0066048F">
            <w:pPr>
              <w:spacing w:after="0" w:line="480" w:lineRule="auto"/>
              <w:ind w:left="0" w:right="253" w:firstLine="0"/>
              <w:jc w:val="left"/>
              <w:rPr>
                <w:u w:val="single" w:color="000000"/>
              </w:rPr>
            </w:pPr>
            <w:r>
              <w:rPr>
                <w:u w:val="single" w:color="000000"/>
              </w:rPr>
              <w:t>godziny przyjęć interesantów:</w:t>
            </w:r>
          </w:p>
          <w:p w14:paraId="1D51F407" w14:textId="77777777" w:rsidR="0066048F" w:rsidRDefault="0066048F">
            <w:pPr>
              <w:spacing w:after="0" w:line="240" w:lineRule="auto"/>
              <w:ind w:left="0" w:firstLine="0"/>
            </w:pPr>
            <w:r>
              <w:t>poniedziałek –   9:00-17:00</w:t>
            </w:r>
          </w:p>
          <w:p w14:paraId="6C0B6404" w14:textId="77777777" w:rsidR="0066048F" w:rsidRDefault="0066048F">
            <w:pPr>
              <w:spacing w:after="0" w:line="240" w:lineRule="auto"/>
              <w:ind w:left="0" w:firstLine="0"/>
            </w:pPr>
            <w:r>
              <w:t>wtorek          –    8:00-15:00</w:t>
            </w:r>
          </w:p>
          <w:p w14:paraId="0C08E57E" w14:textId="77777777" w:rsidR="0066048F" w:rsidRDefault="0066048F">
            <w:pPr>
              <w:spacing w:after="0" w:line="240" w:lineRule="auto"/>
              <w:ind w:left="0" w:firstLine="0"/>
            </w:pPr>
            <w:r>
              <w:t>środa             –    8:00-15:00</w:t>
            </w:r>
          </w:p>
          <w:p w14:paraId="4C58C5F3" w14:textId="77777777" w:rsidR="0066048F" w:rsidRDefault="0066048F">
            <w:pPr>
              <w:spacing w:after="0" w:line="240" w:lineRule="auto"/>
              <w:ind w:left="0" w:firstLine="0"/>
            </w:pPr>
            <w:r>
              <w:t>czwartek       –    8:00-15:00</w:t>
            </w:r>
          </w:p>
          <w:p w14:paraId="04AED771" w14:textId="77777777" w:rsidR="0066048F" w:rsidRDefault="0066048F">
            <w:pPr>
              <w:spacing w:after="0" w:line="600" w:lineRule="auto"/>
              <w:ind w:left="0" w:right="253" w:firstLine="0"/>
              <w:jc w:val="left"/>
            </w:pPr>
            <w:r>
              <w:t>piątek            –    8:00-15:00</w:t>
            </w:r>
          </w:p>
        </w:tc>
      </w:tr>
    </w:tbl>
    <w:bookmarkEnd w:id="0"/>
    <w:p w14:paraId="0859DA0B" w14:textId="77777777" w:rsidR="0066048F" w:rsidRDefault="0066048F" w:rsidP="0066048F">
      <w:pPr>
        <w:spacing w:after="246" w:line="256" w:lineRule="auto"/>
        <w:ind w:left="-5"/>
        <w:jc w:val="left"/>
      </w:pPr>
      <w:r>
        <w:rPr>
          <w:b/>
        </w:rPr>
        <w:t xml:space="preserve">Opłaty: </w:t>
      </w:r>
    </w:p>
    <w:p w14:paraId="7A0E8B78" w14:textId="77777777" w:rsidR="0066048F" w:rsidRDefault="0066048F" w:rsidP="0066048F">
      <w:pPr>
        <w:ind w:left="37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opłata skarbowa za udzielenie zezwolenia na pobyt czasowy </w:t>
      </w:r>
    </w:p>
    <w:p w14:paraId="1B0972A2" w14:textId="4CDC0C04" w:rsidR="0066048F" w:rsidRDefault="0066048F" w:rsidP="0066048F">
      <w:pPr>
        <w:ind w:left="730"/>
      </w:pPr>
      <w:r>
        <w:t xml:space="preserve"> -   440 zł  </w:t>
      </w:r>
    </w:p>
    <w:p w14:paraId="547F6407" w14:textId="77777777" w:rsidR="0066048F" w:rsidRDefault="0066048F" w:rsidP="0066048F">
      <w:pPr>
        <w:ind w:left="-5" w:right="3956"/>
      </w:pPr>
      <w:r>
        <w:t>(dowód wpłaty należy dołączyć do składanego wniosku)</w:t>
      </w:r>
      <w:r>
        <w:rPr>
          <w:b/>
        </w:rPr>
        <w:t xml:space="preserve"> </w:t>
      </w:r>
      <w:r>
        <w:t xml:space="preserve"> wpłaty można dokonać: </w:t>
      </w:r>
    </w:p>
    <w:p w14:paraId="362D3CB5" w14:textId="77777777" w:rsidR="0066048F" w:rsidRDefault="0066048F" w:rsidP="0066048F">
      <w:pPr>
        <w:ind w:left="437"/>
      </w:pPr>
      <w:r>
        <w:rPr>
          <w:u w:val="single" w:color="000000"/>
        </w:rPr>
        <w:t xml:space="preserve">gotówką </w:t>
      </w:r>
      <w:r>
        <w:t xml:space="preserve"> w  Urzędzie Miasta Olsztyna </w:t>
      </w:r>
    </w:p>
    <w:p w14:paraId="007EAF45" w14:textId="77777777" w:rsidR="0066048F" w:rsidRDefault="0066048F" w:rsidP="0066048F">
      <w:pPr>
        <w:ind w:left="1426"/>
      </w:pPr>
      <w:r>
        <w:t xml:space="preserve">pok. nr 35,  Pl. Jana Pawła II 1,10-101 Olsztyn </w:t>
      </w:r>
    </w:p>
    <w:p w14:paraId="1716906F" w14:textId="77777777" w:rsidR="0066048F" w:rsidRDefault="0066048F" w:rsidP="0066048F">
      <w:pPr>
        <w:spacing w:after="0" w:line="256" w:lineRule="auto"/>
        <w:ind w:left="2268" w:firstLine="0"/>
        <w:jc w:val="left"/>
      </w:pPr>
      <w:r>
        <w:t xml:space="preserve"> </w:t>
      </w:r>
    </w:p>
    <w:p w14:paraId="57AFA5CD" w14:textId="77777777" w:rsidR="0066048F" w:rsidRDefault="0066048F" w:rsidP="0066048F">
      <w:pPr>
        <w:ind w:left="437"/>
      </w:pPr>
      <w:r>
        <w:rPr>
          <w:u w:val="single" w:color="000000"/>
        </w:rPr>
        <w:t>lub na rachunek</w:t>
      </w:r>
      <w:r>
        <w:t>: Urząd Miasta Olsztyna - Wydział Podatków i Opłat</w:t>
      </w:r>
      <w:r>
        <w:rPr>
          <w:b/>
        </w:rPr>
        <w:t xml:space="preserve">  </w:t>
      </w:r>
      <w:r>
        <w:t xml:space="preserve"> </w:t>
      </w:r>
    </w:p>
    <w:p w14:paraId="087886A6" w14:textId="77777777" w:rsidR="0066048F" w:rsidRDefault="0066048F" w:rsidP="0066048F">
      <w:pPr>
        <w:tabs>
          <w:tab w:val="center" w:pos="708"/>
          <w:tab w:val="center" w:pos="3184"/>
        </w:tabs>
        <w:ind w:left="-15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         Plac Jana Pawła II nr 1, 10-101 Olsztyn  </w:t>
      </w:r>
    </w:p>
    <w:p w14:paraId="12D24FF2" w14:textId="77777777" w:rsidR="0066048F" w:rsidRDefault="0066048F" w:rsidP="0066048F">
      <w:pPr>
        <w:spacing w:after="0" w:line="256" w:lineRule="auto"/>
        <w:ind w:left="1426"/>
        <w:jc w:val="left"/>
      </w:pPr>
      <w:r>
        <w:rPr>
          <w:b/>
        </w:rPr>
        <w:t xml:space="preserve">          </w:t>
      </w:r>
      <w:bookmarkStart w:id="1" w:name="_Hlk506364117"/>
      <w:bookmarkStart w:id="2" w:name="_Hlk506363855"/>
      <w:r>
        <w:t xml:space="preserve">PKO Bank Polski S.A.  63 1020 3541 0000 5002 0290 3227 </w:t>
      </w:r>
      <w:bookmarkEnd w:id="1"/>
    </w:p>
    <w:bookmarkEnd w:id="2"/>
    <w:p w14:paraId="2951AEE3" w14:textId="77777777" w:rsidR="0066048F" w:rsidRDefault="0066048F" w:rsidP="0066048F">
      <w:pPr>
        <w:spacing w:line="381" w:lineRule="auto"/>
        <w:ind w:left="345" w:right="3023" w:hanging="360"/>
      </w:pPr>
      <w:r>
        <w:t xml:space="preserve">                                         z tytułu “opłata za zezwolenie na pobyt czasowy” </w:t>
      </w:r>
    </w:p>
    <w:p w14:paraId="3DAF083E" w14:textId="77777777" w:rsidR="0066048F" w:rsidRDefault="0066048F" w:rsidP="0066048F">
      <w:pPr>
        <w:spacing w:line="381" w:lineRule="auto"/>
        <w:ind w:left="345" w:right="3023" w:hanging="36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opłata za wydanie karty pobytu   -  50 zł  </w:t>
      </w:r>
    </w:p>
    <w:p w14:paraId="7EDBFAD3" w14:textId="77777777" w:rsidR="0066048F" w:rsidRDefault="0066048F" w:rsidP="0066048F">
      <w:pPr>
        <w:spacing w:line="352" w:lineRule="auto"/>
        <w:ind w:left="-5" w:right="3402"/>
      </w:pPr>
      <w:r>
        <w:t>(oryginał wpłaty należy przedłożyć przy odbiorze karty pobytu) wpłaty można dokonać:</w:t>
      </w:r>
      <w:r>
        <w:rPr>
          <w:b/>
        </w:rPr>
        <w:t xml:space="preserve"> </w:t>
      </w:r>
    </w:p>
    <w:p w14:paraId="673ECAFB" w14:textId="77777777" w:rsidR="00246475" w:rsidRDefault="0066048F" w:rsidP="00246475">
      <w:pPr>
        <w:spacing w:after="1" w:line="241" w:lineRule="auto"/>
        <w:ind w:left="703" w:right="4381" w:hanging="291"/>
        <w:jc w:val="left"/>
      </w:pPr>
      <w:r>
        <w:rPr>
          <w:u w:val="single" w:color="000000"/>
        </w:rPr>
        <w:lastRenderedPageBreak/>
        <w:t xml:space="preserve">gotówką </w:t>
      </w:r>
      <w:r>
        <w:t xml:space="preserve">w kasie Urzędu Wojewódzkiego  pok. 28A, Al. Piłsudskiego 7/9, 10-575 Olsztyn w </w:t>
      </w:r>
      <w:r w:rsidR="00246475">
        <w:t xml:space="preserve">godzinach: poniedziałek  9:00 - 17:00 </w:t>
      </w:r>
    </w:p>
    <w:p w14:paraId="6EFDEDB3" w14:textId="77777777" w:rsidR="00246475" w:rsidRDefault="00246475" w:rsidP="00246475">
      <w:pPr>
        <w:spacing w:after="1" w:line="241" w:lineRule="auto"/>
        <w:ind w:left="703" w:right="4381" w:hanging="291"/>
        <w:jc w:val="left"/>
      </w:pPr>
      <w:r w:rsidRPr="00FF1758">
        <w:rPr>
          <w:u w:color="000000"/>
        </w:rPr>
        <w:t xml:space="preserve">                           </w:t>
      </w:r>
      <w:r>
        <w:t xml:space="preserve">wtorek – piątek  7:40 - 15:00  </w:t>
      </w:r>
    </w:p>
    <w:p w14:paraId="23C1207B" w14:textId="07AF32DC" w:rsidR="0066048F" w:rsidRDefault="0066048F" w:rsidP="00246475">
      <w:pPr>
        <w:spacing w:after="1" w:line="240" w:lineRule="auto"/>
        <w:ind w:left="703" w:right="4381" w:hanging="291"/>
        <w:jc w:val="left"/>
      </w:pPr>
      <w:bookmarkStart w:id="3" w:name="_GoBack"/>
      <w:bookmarkEnd w:id="3"/>
      <w:r>
        <w:t xml:space="preserve">   </w:t>
      </w:r>
    </w:p>
    <w:p w14:paraId="4307D1F8" w14:textId="77777777" w:rsidR="0066048F" w:rsidRDefault="0066048F" w:rsidP="0066048F">
      <w:pPr>
        <w:spacing w:after="51" w:line="256" w:lineRule="auto"/>
        <w:ind w:left="437"/>
        <w:jc w:val="left"/>
      </w:pPr>
      <w:r>
        <w:rPr>
          <w:u w:val="single" w:color="000000"/>
        </w:rPr>
        <w:t>lub na rachunek:</w:t>
      </w:r>
      <w:r>
        <w:t xml:space="preserve">  </w:t>
      </w:r>
    </w:p>
    <w:p w14:paraId="1E0EF548" w14:textId="77777777" w:rsidR="0066048F" w:rsidRDefault="0066048F" w:rsidP="0066048F">
      <w:pPr>
        <w:tabs>
          <w:tab w:val="center" w:pos="720"/>
          <w:tab w:val="center" w:pos="3634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Warmińsko - Mazurski  Urząd Wojewódzki w Olsztynie </w:t>
      </w:r>
    </w:p>
    <w:p w14:paraId="3EE48AFF" w14:textId="77777777" w:rsidR="0066048F" w:rsidRDefault="0066048F" w:rsidP="0066048F">
      <w:pPr>
        <w:ind w:left="1428"/>
      </w:pPr>
      <w:r>
        <w:t xml:space="preserve">Wydział Finansów i Kontroli </w:t>
      </w:r>
    </w:p>
    <w:p w14:paraId="60B5292F" w14:textId="77777777" w:rsidR="0066048F" w:rsidRDefault="0066048F" w:rsidP="0066048F">
      <w:pPr>
        <w:ind w:left="1428"/>
      </w:pPr>
      <w:r>
        <w:t xml:space="preserve">NBP O/O Olsztyn </w:t>
      </w:r>
    </w:p>
    <w:p w14:paraId="20F9D408" w14:textId="77777777" w:rsidR="0066048F" w:rsidRDefault="0066048F" w:rsidP="0066048F">
      <w:pPr>
        <w:ind w:left="1428"/>
      </w:pPr>
      <w:r>
        <w:t xml:space="preserve">31101013970032902231000000 </w:t>
      </w:r>
    </w:p>
    <w:p w14:paraId="2B47F639" w14:textId="77777777" w:rsidR="0066048F" w:rsidRDefault="0066048F" w:rsidP="0066048F">
      <w:pPr>
        <w:tabs>
          <w:tab w:val="center" w:pos="6001"/>
        </w:tabs>
        <w:spacing w:after="211"/>
        <w:ind w:left="-15" w:firstLine="0"/>
        <w:jc w:val="left"/>
      </w:pPr>
      <w:r>
        <w:t xml:space="preserve">                                z tytułu “opłata za kartę pobytu”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02BDAED8" w14:textId="77777777" w:rsidR="0066048F" w:rsidRDefault="0066048F" w:rsidP="0066048F">
      <w:pPr>
        <w:spacing w:after="216" w:line="256" w:lineRule="auto"/>
        <w:ind w:left="-5"/>
        <w:jc w:val="left"/>
      </w:pPr>
      <w:r>
        <w:rPr>
          <w:b/>
        </w:rPr>
        <w:t xml:space="preserve">Czas załatwienia sprawy –  </w:t>
      </w:r>
    </w:p>
    <w:p w14:paraId="3C9C8B93" w14:textId="77777777" w:rsidR="0066048F" w:rsidRPr="0066048F" w:rsidRDefault="0066048F" w:rsidP="0066048F">
      <w:pPr>
        <w:pStyle w:val="NormalnyWeb"/>
        <w:ind w:left="360"/>
        <w:rPr>
          <w:rFonts w:asciiTheme="minorHAnsi" w:hAnsiTheme="minorHAnsi" w:cstheme="minorHAnsi"/>
          <w:sz w:val="20"/>
          <w:szCs w:val="20"/>
        </w:rPr>
      </w:pPr>
      <w:r w:rsidRPr="0066048F">
        <w:rPr>
          <w:rFonts w:asciiTheme="minorHAnsi" w:hAnsiTheme="minorHAnsi" w:cstheme="minorHAnsi"/>
          <w:sz w:val="20"/>
          <w:szCs w:val="20"/>
        </w:rPr>
        <w:t>Decyzję w sprawie udzielenia zezwolenia wydaje się w terminie 90 dni od dnia złożenia wniosku w tej sprawie wraz z wszystkimi dokumentami.</w:t>
      </w:r>
    </w:p>
    <w:p w14:paraId="5CA36D47" w14:textId="77777777" w:rsidR="0066048F" w:rsidRPr="0066048F" w:rsidRDefault="0066048F" w:rsidP="0066048F">
      <w:pPr>
        <w:pStyle w:val="NormalnyWeb"/>
        <w:ind w:left="360"/>
        <w:rPr>
          <w:rFonts w:asciiTheme="minorHAnsi" w:hAnsiTheme="minorHAnsi" w:cstheme="minorHAnsi"/>
          <w:sz w:val="20"/>
          <w:szCs w:val="20"/>
        </w:rPr>
      </w:pPr>
      <w:r w:rsidRPr="0066048F">
        <w:rPr>
          <w:rFonts w:asciiTheme="minorHAnsi" w:hAnsiTheme="minorHAnsi" w:cstheme="minorHAnsi"/>
          <w:sz w:val="20"/>
          <w:szCs w:val="20"/>
        </w:rPr>
        <w:t>Jeżeli do wniosku nie zostały załączone wszystkie niezbędne dokumenty, bieg terminu zawiesza się do dnia ich doręczenia wojewodzie.</w:t>
      </w:r>
    </w:p>
    <w:p w14:paraId="04A425B2" w14:textId="77777777" w:rsidR="0066048F" w:rsidRPr="0066048F" w:rsidRDefault="0066048F" w:rsidP="0066048F">
      <w:pPr>
        <w:pStyle w:val="NormalnyWeb"/>
        <w:ind w:left="360"/>
        <w:rPr>
          <w:rFonts w:asciiTheme="minorHAnsi" w:hAnsiTheme="minorHAnsi" w:cstheme="minorHAnsi"/>
          <w:sz w:val="20"/>
          <w:szCs w:val="20"/>
        </w:rPr>
      </w:pPr>
      <w:r w:rsidRPr="0066048F">
        <w:rPr>
          <w:rFonts w:asciiTheme="minorHAnsi" w:hAnsiTheme="minorHAnsi" w:cstheme="minorHAnsi"/>
          <w:sz w:val="20"/>
          <w:szCs w:val="20"/>
        </w:rPr>
        <w:t>Zgodnie z art. 35 § 5 Kpa do tego terminu nie wlicza się terminów przewidzianych w przepisach prawa dla określonych czynności, okresów zawieszenia postępowania oraz okresów opóźnień spowodowanych z winy strony albo z przyczyn niezależnych od organu.</w:t>
      </w:r>
    </w:p>
    <w:p w14:paraId="41E9488B" w14:textId="2F18C8A5" w:rsidR="0066048F" w:rsidRDefault="0066048F" w:rsidP="0066048F">
      <w:pPr>
        <w:spacing w:after="205"/>
        <w:ind w:left="-5"/>
      </w:pPr>
      <w:r>
        <w:rPr>
          <w:b/>
        </w:rPr>
        <w:t xml:space="preserve"> </w:t>
      </w:r>
    </w:p>
    <w:p w14:paraId="2D90DF8E" w14:textId="77777777" w:rsidR="0066048F" w:rsidRDefault="0066048F" w:rsidP="0066048F">
      <w:pPr>
        <w:spacing w:after="245" w:line="256" w:lineRule="auto"/>
        <w:ind w:left="-5"/>
        <w:jc w:val="left"/>
      </w:pPr>
      <w:r>
        <w:rPr>
          <w:b/>
        </w:rPr>
        <w:t xml:space="preserve">Niezbędne dokumenty: </w:t>
      </w:r>
    </w:p>
    <w:p w14:paraId="27EC98D4" w14:textId="39130861" w:rsidR="0066048F" w:rsidRPr="0066048F" w:rsidRDefault="0066048F" w:rsidP="006604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>2</w:t>
      </w:r>
      <w:r w:rsidRPr="0066048F">
        <w:rPr>
          <w:rFonts w:asciiTheme="minorHAnsi" w:hAnsiTheme="minorHAnsi" w:cstheme="minorHAnsi"/>
          <w:color w:val="auto"/>
          <w:szCs w:val="20"/>
        </w:rPr>
        <w:t xml:space="preserve"> </w:t>
      </w:r>
      <w:r w:rsidRPr="0066048F">
        <w:rPr>
          <w:rFonts w:asciiTheme="minorHAnsi" w:eastAsia="Times New Roman" w:hAnsiTheme="minorHAnsi" w:cstheme="minorHAnsi"/>
          <w:color w:val="auto"/>
          <w:szCs w:val="20"/>
        </w:rPr>
        <w:t>egzemplarze wypełnionego zgodnie z pouczeniem wniosku o udzielenie zezwolenia na pobyt czasowy;</w:t>
      </w:r>
    </w:p>
    <w:p w14:paraId="3AAFCFF6" w14:textId="5B0F3E9B" w:rsidR="0066048F" w:rsidRPr="0066048F" w:rsidRDefault="0066048F" w:rsidP="006604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color w:val="auto"/>
          <w:szCs w:val="20"/>
        </w:rPr>
        <w:t> 4 nieuszkodzone, kolorowe fotografie , o dobrej ostrości, mają wymiary 35 mm x 45 mm,  wykonane nie wcześniej niż w ciągu 6 miesięcy przed dniem złożenia wniosku,</w:t>
      </w:r>
      <w:r>
        <w:rPr>
          <w:rFonts w:asciiTheme="minorHAnsi" w:eastAsia="Times New Roman" w:hAnsiTheme="minorHAnsi" w:cstheme="minorHAnsi"/>
          <w:color w:val="auto"/>
          <w:szCs w:val="20"/>
        </w:rPr>
        <w:t xml:space="preserve"> </w:t>
      </w:r>
      <w:r w:rsidRPr="0066048F">
        <w:rPr>
          <w:rFonts w:asciiTheme="minorHAnsi" w:eastAsia="Times New Roman" w:hAnsiTheme="minorHAnsi" w:cstheme="minorHAnsi"/>
          <w:color w:val="auto"/>
          <w:szCs w:val="20"/>
        </w:rPr>
        <w:t>przedstawiają wizerunek twarzy cudzoziemca od wierzchołka głowy do górnej części barków, tak aby twarz zajmowała 70–80% fotografii, na jednolitym jasnym tle, w pozycji frontalnej, patrzącego na wprost z otwartymi oczami, nieprzesłoniętymi włosami, z naturalnym wyrazem twarzy i zamkniętymi ustami, a także odwzorowują naturalny kolor jego skóry; przedstawiające wyraźnie oczy cudzoziemca, a zwłaszcza źrenice, linia oczu cudzoziemca jest równoległa do górnej</w:t>
      </w:r>
      <w:r>
        <w:rPr>
          <w:rFonts w:asciiTheme="minorHAnsi" w:eastAsia="Times New Roman" w:hAnsiTheme="minorHAnsi" w:cstheme="minorHAnsi"/>
          <w:color w:val="auto"/>
          <w:szCs w:val="20"/>
        </w:rPr>
        <w:t xml:space="preserve"> </w:t>
      </w:r>
      <w:r w:rsidRPr="0066048F">
        <w:rPr>
          <w:rFonts w:asciiTheme="minorHAnsi" w:eastAsia="Times New Roman" w:hAnsiTheme="minorHAnsi" w:cstheme="minorHAnsi"/>
          <w:color w:val="auto"/>
          <w:szCs w:val="20"/>
        </w:rPr>
        <w:t>krawędzi fotografii.</w:t>
      </w:r>
    </w:p>
    <w:p w14:paraId="05C9ED22" w14:textId="574D4E29" w:rsidR="0066048F" w:rsidRPr="0066048F" w:rsidRDefault="0066048F" w:rsidP="0066048F">
      <w:pPr>
        <w:spacing w:before="100" w:beforeAutospacing="1" w:after="100" w:afterAutospacing="1" w:line="240" w:lineRule="auto"/>
        <w:ind w:left="600" w:firstLine="0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color w:val="auto"/>
          <w:szCs w:val="20"/>
        </w:rPr>
        <w:t>Cudzoziemiec z wrodzonymi lub nabytymi wadami narządu wzroku może dołączyć fotografię przedstawiającą go w okularach z ciemnymi szkłami. W takim przypadku należy dołączyć dokumenty potwierdzające niepełnosprawność a w przypadku ich braku oświadczenie cudzoziemca o niepełnosprawności. </w:t>
      </w:r>
    </w:p>
    <w:p w14:paraId="2E9ADFE2" w14:textId="14F9EBBA" w:rsidR="0066048F" w:rsidRPr="0066048F" w:rsidRDefault="0066048F" w:rsidP="0066048F">
      <w:pPr>
        <w:spacing w:before="100" w:beforeAutospacing="1" w:after="100" w:afterAutospacing="1" w:line="240" w:lineRule="auto"/>
        <w:ind w:left="600" w:firstLine="0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color w:val="auto"/>
          <w:szCs w:val="20"/>
        </w:rPr>
        <w:t>Cudzoziemiec noszący nakrycie głowy zgodnie z zasadami swojego wyznania może dołączyć fotografię w nakryciu głowy, o ile wizerunek twarzy jest w pełni widoczny. Nakrycie głowy nie może zakrywać ani zniekształcać owalu twarzy.</w:t>
      </w:r>
    </w:p>
    <w:p w14:paraId="068BB33A" w14:textId="77777777" w:rsidR="0066048F" w:rsidRPr="0066048F" w:rsidRDefault="0066048F" w:rsidP="006604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color w:val="auto"/>
          <w:szCs w:val="20"/>
        </w:rPr>
        <w:t>kserokopię ważnego dokumentu podróży (2 kserokopie wszystkich jego stron zawierających pieczątki, adnotacje i wpisy);</w:t>
      </w:r>
    </w:p>
    <w:p w14:paraId="38676E8B" w14:textId="77777777" w:rsidR="0066048F" w:rsidRPr="0066048F" w:rsidRDefault="0066048F" w:rsidP="006604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color w:val="auto"/>
          <w:szCs w:val="20"/>
        </w:rPr>
        <w:t>potwierdzenie wniesienia opłaty skarbowej.</w:t>
      </w:r>
    </w:p>
    <w:p w14:paraId="7308A65B" w14:textId="77777777" w:rsidR="0066048F" w:rsidRPr="0066048F" w:rsidRDefault="0066048F" w:rsidP="0066048F">
      <w:pPr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b/>
          <w:bCs/>
          <w:color w:val="auto"/>
          <w:szCs w:val="20"/>
        </w:rPr>
        <w:t>Uwaga!</w:t>
      </w:r>
      <w:r w:rsidRPr="0066048F">
        <w:rPr>
          <w:rFonts w:asciiTheme="minorHAnsi" w:eastAsia="Times New Roman" w:hAnsiTheme="minorHAnsi" w:cstheme="minorHAnsi"/>
          <w:color w:val="auto"/>
          <w:szCs w:val="20"/>
        </w:rPr>
        <w:t xml:space="preserve"> Złożenie powyższych dokumentów jest niezbędne do wszczęcia postepowania. W wypadku złożenia wniosku bez któregoś z powyższych dokumentów, Cudzoziemiec wzywany jest do uzupełnienia braków </w:t>
      </w:r>
      <w:r w:rsidRPr="0066048F">
        <w:rPr>
          <w:rFonts w:asciiTheme="minorHAnsi" w:eastAsia="Times New Roman" w:hAnsiTheme="minorHAnsi" w:cstheme="minorHAnsi"/>
          <w:color w:val="auto"/>
          <w:szCs w:val="20"/>
        </w:rPr>
        <w:lastRenderedPageBreak/>
        <w:t>formalnych we wniosku. Postępowanie może być wszczęte dopiero po uzupełnieniu brakujących dokumentów we wskazanym terminie i ich pozytywnej weryfikacji przez Urząd.</w:t>
      </w:r>
    </w:p>
    <w:p w14:paraId="44BDD3A6" w14:textId="77777777" w:rsidR="0066048F" w:rsidRDefault="0066048F" w:rsidP="0066048F">
      <w:pPr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Cs w:val="20"/>
        </w:rPr>
      </w:pPr>
    </w:p>
    <w:p w14:paraId="63949F4C" w14:textId="5147A626" w:rsidR="0066048F" w:rsidRPr="0066048F" w:rsidRDefault="0066048F" w:rsidP="0066048F">
      <w:pPr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b/>
          <w:bCs/>
          <w:color w:val="auto"/>
          <w:szCs w:val="20"/>
        </w:rPr>
        <w:t>Dokumenty potwierdzające okoliczności wskazane we wniosku:</w:t>
      </w:r>
    </w:p>
    <w:p w14:paraId="57B01055" w14:textId="77777777" w:rsidR="0066048F" w:rsidRPr="0066048F" w:rsidRDefault="0066048F" w:rsidP="0066048F">
      <w:pPr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color w:val="auto"/>
          <w:szCs w:val="20"/>
        </w:rPr>
        <w:t> </w:t>
      </w:r>
    </w:p>
    <w:p w14:paraId="186F7209" w14:textId="77777777" w:rsidR="0066048F" w:rsidRPr="0066048F" w:rsidRDefault="0066048F" w:rsidP="006604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color w:val="auto"/>
          <w:szCs w:val="20"/>
        </w:rPr>
        <w:t>dokumenty potwierdzające posiadanie kwalifikacji zawodowych i doświadczenia adekwatnego do przedmiotu działalności jednostki przyjmującej w przypadku pracownika kadry kierowniczej lub specjalisty albo dyplom ukończenia studiów wyższych w przypadku pracy w charakterze pracownika odbywającego staż;</w:t>
      </w:r>
    </w:p>
    <w:p w14:paraId="06767EFE" w14:textId="77777777" w:rsidR="0066048F" w:rsidRPr="0066048F" w:rsidRDefault="0066048F" w:rsidP="006604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color w:val="auto"/>
          <w:szCs w:val="20"/>
        </w:rPr>
        <w:t>w przypadku wykonywania pracy w zawodzie regulowanym dokumenty potwierdzające posiadanie formalnych kwalifikacji;</w:t>
      </w:r>
    </w:p>
    <w:p w14:paraId="0AF280D6" w14:textId="77777777" w:rsidR="0066048F" w:rsidRPr="0066048F" w:rsidRDefault="0066048F" w:rsidP="006604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color w:val="auto"/>
          <w:szCs w:val="20"/>
        </w:rPr>
        <w:t>dokumenty potwierdzające zatrudnienie w ramach tego samego przedsiębiorstwa lub grupy przedsiębiorstw nieprzerwanie przez okres co najmniej:</w:t>
      </w:r>
    </w:p>
    <w:p w14:paraId="14454BD1" w14:textId="77777777" w:rsidR="0066048F" w:rsidRPr="0066048F" w:rsidRDefault="0066048F" w:rsidP="0066048F">
      <w:pPr>
        <w:spacing w:before="100" w:beforeAutospacing="1" w:after="100" w:afterAutospacing="1" w:line="240" w:lineRule="auto"/>
        <w:ind w:left="360" w:firstLine="0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color w:val="auto"/>
          <w:szCs w:val="20"/>
        </w:rPr>
        <w:t>-  12 miesięcy w przypadku pracy w charakterze pracownika kadry kierowniczej lub specjalisty;</w:t>
      </w:r>
    </w:p>
    <w:p w14:paraId="417A3BA3" w14:textId="77777777" w:rsidR="0066048F" w:rsidRPr="0066048F" w:rsidRDefault="0066048F" w:rsidP="0066048F">
      <w:pPr>
        <w:spacing w:before="100" w:beforeAutospacing="1" w:after="100" w:afterAutospacing="1" w:line="240" w:lineRule="auto"/>
        <w:ind w:left="360" w:firstLine="0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color w:val="auto"/>
          <w:szCs w:val="20"/>
        </w:rPr>
        <w:t>- 6 miesięcy w przypadku pracownika odbywającego staż;</w:t>
      </w:r>
    </w:p>
    <w:p w14:paraId="094EA439" w14:textId="77777777" w:rsidR="0066048F" w:rsidRPr="0066048F" w:rsidRDefault="0066048F" w:rsidP="006604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color w:val="auto"/>
          <w:szCs w:val="20"/>
        </w:rPr>
        <w:t>dokumenty potwierdzające posiadanie ubezpieczenia zdrowotnego lub potwierdzenie pokrycia przez ubezpieczyciela kosztów leczenia na terytorium Rzeczypospolitej Polskiej;</w:t>
      </w:r>
    </w:p>
    <w:p w14:paraId="28FEE78A" w14:textId="77777777" w:rsidR="0066048F" w:rsidRPr="0066048F" w:rsidRDefault="0066048F" w:rsidP="006604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color w:val="auto"/>
          <w:szCs w:val="20"/>
        </w:rPr>
        <w:t>dokumenty potwierdzające posiadanie miejsca zamieszkania w Polsce np. umowa najmu, umowa użyczenia, potwierdzenie zameldowania, zaświadczenie (rezerwacja) z hotelu;</w:t>
      </w:r>
    </w:p>
    <w:p w14:paraId="560561E3" w14:textId="77777777" w:rsidR="0066048F" w:rsidRPr="0066048F" w:rsidRDefault="0066048F" w:rsidP="006604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color w:val="auto"/>
          <w:szCs w:val="20"/>
        </w:rPr>
        <w:t>dokumenty potwierdzające możliwość powrotu do pracodawcy macierzystego mającego siedzibę poza UE po zakończeniu okresu przeniesienia wewnątrz przedsiębiorstwa;</w:t>
      </w:r>
    </w:p>
    <w:p w14:paraId="2789299E" w14:textId="77777777" w:rsidR="0066048F" w:rsidRPr="0066048F" w:rsidRDefault="0066048F" w:rsidP="006604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color w:val="auto"/>
          <w:szCs w:val="20"/>
        </w:rPr>
        <w:t>umowa na podstawie, której cudzoziemiec ma wykonywać pracę zawarta w formie pisemnej lub dokument wydany przez pracodawcę macierzystego stanowiący podstawę przeniesienia wewnątrz przedsiębiorstwa;</w:t>
      </w:r>
    </w:p>
    <w:p w14:paraId="540E584E" w14:textId="77777777" w:rsidR="0066048F" w:rsidRPr="0066048F" w:rsidRDefault="0066048F" w:rsidP="006604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color w:val="auto"/>
          <w:szCs w:val="20"/>
        </w:rPr>
        <w:t>w przypadku pracownika odbywającego staż w ramach przeniesienia wewnątrz przedsiębiorstwa dodatkowo należy załączyć program stażu, czas trwania stażu, warunki nadzoru nad cudzoziemcem podczas odbywania przez niego stażu;</w:t>
      </w:r>
    </w:p>
    <w:p w14:paraId="455E943C" w14:textId="77777777" w:rsidR="0066048F" w:rsidRPr="0066048F" w:rsidRDefault="0066048F" w:rsidP="006604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color w:val="auto"/>
          <w:szCs w:val="20"/>
        </w:rPr>
        <w:t>wysokość wynagrodzenia określona w umowie z cudzoziemcem nie jest niższa niż 70%  przeciętnego miesięcznego wynagrodzenia brutto w gospodarce narodowej ogłaszanego przez Prezesa Głównego Urzędu Statystycznego.</w:t>
      </w:r>
    </w:p>
    <w:p w14:paraId="58698ADA" w14:textId="77777777" w:rsidR="0066048F" w:rsidRPr="0066048F" w:rsidRDefault="0066048F" w:rsidP="0066048F">
      <w:pPr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color w:val="auto"/>
          <w:szCs w:val="20"/>
        </w:rPr>
      </w:pPr>
      <w:r w:rsidRPr="0066048F">
        <w:rPr>
          <w:rFonts w:asciiTheme="minorHAnsi" w:eastAsia="Times New Roman" w:hAnsiTheme="minorHAnsi" w:cstheme="minorHAnsi"/>
          <w:b/>
          <w:bCs/>
          <w:color w:val="auto"/>
          <w:szCs w:val="20"/>
        </w:rPr>
        <w:t>Uwaga!</w:t>
      </w:r>
      <w:r w:rsidRPr="0066048F">
        <w:rPr>
          <w:rFonts w:asciiTheme="minorHAnsi" w:eastAsia="Times New Roman" w:hAnsiTheme="minorHAnsi" w:cstheme="minorHAnsi"/>
          <w:color w:val="auto"/>
          <w:szCs w:val="20"/>
        </w:rPr>
        <w:t xml:space="preserve"> Dołączenie wszystkich wymienionych dokumentów do wniosku przy jego składaniu może ograniczyć ilość korespondencji urzędowej i skrócić czas załatwienia sprawy. W przypadku potrzeby wyjaśnienia lub doprecyzowania posiadanych przez organ dowodów w sprawie w trakcie postępowania możesz być wzywany do dostarczenia innych dokumentów lub do składania zeznań potwierdzających okoliczności, o których mowa we wniosku. Dokumenty należy składać w oryginałach lub w kserokopii wraz z oryginałami do wglądu. Akty stanu cywilnego potwierdzające pokrewieństwo lub stan cywilny wydane przez państwa obce powinny być opatrzone klauzulą </w:t>
      </w:r>
      <w:proofErr w:type="spellStart"/>
      <w:r w:rsidRPr="0066048F">
        <w:rPr>
          <w:rFonts w:asciiTheme="minorHAnsi" w:eastAsia="Times New Roman" w:hAnsiTheme="minorHAnsi" w:cstheme="minorHAnsi"/>
          <w:color w:val="auto"/>
          <w:szCs w:val="20"/>
        </w:rPr>
        <w:t>apostille</w:t>
      </w:r>
      <w:proofErr w:type="spellEnd"/>
      <w:r w:rsidRPr="0066048F">
        <w:rPr>
          <w:rFonts w:asciiTheme="minorHAnsi" w:eastAsia="Times New Roman" w:hAnsiTheme="minorHAnsi" w:cstheme="minorHAnsi"/>
          <w:color w:val="auto"/>
          <w:szCs w:val="20"/>
        </w:rPr>
        <w:t xml:space="preserve"> lub potwierdzone przez polskiego konsula. Jeśli do wniosku dołączone są dokumenty sporządzone w języku obcym, wymagane jest złożenie również tłumaczenia tego dokumentu na język polski, dokonanego przez tłumacza przysięgłego.</w:t>
      </w:r>
    </w:p>
    <w:p w14:paraId="714EE908" w14:textId="6E1AE6AA" w:rsidR="0066048F" w:rsidRDefault="0066048F" w:rsidP="0066048F">
      <w:pPr>
        <w:spacing w:after="44"/>
        <w:ind w:left="370" w:right="3792"/>
      </w:pPr>
    </w:p>
    <w:p w14:paraId="26AC46DB" w14:textId="1711539B" w:rsidR="0066048F" w:rsidRDefault="0066048F" w:rsidP="0066048F">
      <w:pPr>
        <w:spacing w:after="205"/>
        <w:ind w:left="-5"/>
      </w:pPr>
      <w:r>
        <w:t xml:space="preserve"> </w:t>
      </w:r>
    </w:p>
    <w:p w14:paraId="62CEC5B4" w14:textId="77777777" w:rsidR="00D9795E" w:rsidRDefault="004974D5"/>
    <w:sectPr w:rsidR="00D979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FF0D1" w14:textId="77777777" w:rsidR="004974D5" w:rsidRDefault="004974D5" w:rsidP="00246475">
      <w:pPr>
        <w:spacing w:after="0" w:line="240" w:lineRule="auto"/>
      </w:pPr>
      <w:r>
        <w:separator/>
      </w:r>
    </w:p>
  </w:endnote>
  <w:endnote w:type="continuationSeparator" w:id="0">
    <w:p w14:paraId="0815E18F" w14:textId="77777777" w:rsidR="004974D5" w:rsidRDefault="004974D5" w:rsidP="0024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88222" w14:textId="77777777" w:rsidR="004974D5" w:rsidRDefault="004974D5" w:rsidP="00246475">
      <w:pPr>
        <w:spacing w:after="0" w:line="240" w:lineRule="auto"/>
      </w:pPr>
      <w:r>
        <w:separator/>
      </w:r>
    </w:p>
  </w:footnote>
  <w:footnote w:type="continuationSeparator" w:id="0">
    <w:p w14:paraId="73ACEF8F" w14:textId="77777777" w:rsidR="004974D5" w:rsidRDefault="004974D5" w:rsidP="00246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0C126" w14:textId="65458333" w:rsidR="00246475" w:rsidRDefault="00246475" w:rsidP="00246475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3209E198" w14:textId="77777777" w:rsidR="00246475" w:rsidRDefault="00246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2F6A"/>
    <w:multiLevelType w:val="multilevel"/>
    <w:tmpl w:val="7454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A6078"/>
    <w:multiLevelType w:val="multilevel"/>
    <w:tmpl w:val="61FC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96BFD"/>
    <w:multiLevelType w:val="multilevel"/>
    <w:tmpl w:val="3DB8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B2304C"/>
    <w:multiLevelType w:val="multilevel"/>
    <w:tmpl w:val="16D6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14122"/>
    <w:multiLevelType w:val="hybridMultilevel"/>
    <w:tmpl w:val="C824BF84"/>
    <w:lvl w:ilvl="0" w:tplc="9EC2225E">
      <w:start w:val="1"/>
      <w:numFmt w:val="bullet"/>
      <w:lvlText w:val="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748EE90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E525BAE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E9C3394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CAD46E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8183A58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19485FC">
      <w:start w:val="1"/>
      <w:numFmt w:val="bullet"/>
      <w:lvlText w:val="•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5B6EC1C">
      <w:start w:val="1"/>
      <w:numFmt w:val="bullet"/>
      <w:lvlText w:val="o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F062C0E">
      <w:start w:val="1"/>
      <w:numFmt w:val="bullet"/>
      <w:lvlText w:val="▪"/>
      <w:lvlJc w:val="left"/>
      <w:pPr>
        <w:ind w:left="72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8F92D05"/>
    <w:multiLevelType w:val="hybridMultilevel"/>
    <w:tmpl w:val="A14C90E0"/>
    <w:lvl w:ilvl="0" w:tplc="6C5693DE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A3400A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3BC90B6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030771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4FE26E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00648E6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1866AB2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F8A3BA6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4626F72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C747F4A"/>
    <w:multiLevelType w:val="multilevel"/>
    <w:tmpl w:val="1FF4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6B73BC"/>
    <w:multiLevelType w:val="multilevel"/>
    <w:tmpl w:val="A3F2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C7CFE"/>
    <w:multiLevelType w:val="multilevel"/>
    <w:tmpl w:val="E5FE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4E"/>
    <w:rsid w:val="00246475"/>
    <w:rsid w:val="004974D5"/>
    <w:rsid w:val="0066048F"/>
    <w:rsid w:val="00831C4E"/>
    <w:rsid w:val="00A142E1"/>
    <w:rsid w:val="00E4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E227"/>
  <w15:chartTrackingRefBased/>
  <w15:docId w15:val="{1D572003-F213-4FC7-9E68-404D6868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48F"/>
    <w:pPr>
      <w:spacing w:after="3" w:line="268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6048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66048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04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6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475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6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475"/>
    <w:rPr>
      <w:rFonts w:ascii="Calibri" w:eastAsia="Calibri" w:hAnsi="Calibri" w:cs="Calibri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2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1526</Words>
  <Characters>9161</Characters>
  <Application>Microsoft Office Word</Application>
  <DocSecurity>0</DocSecurity>
  <Lines>76</Lines>
  <Paragraphs>21</Paragraphs>
  <ScaleCrop>false</ScaleCrop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Pączyńska</dc:creator>
  <cp:keywords/>
  <dc:description/>
  <cp:lastModifiedBy>Agnieszka Wilkowska-Klocek</cp:lastModifiedBy>
  <cp:revision>3</cp:revision>
  <dcterms:created xsi:type="dcterms:W3CDTF">2019-01-23T11:14:00Z</dcterms:created>
  <dcterms:modified xsi:type="dcterms:W3CDTF">2019-02-19T11:12:00Z</dcterms:modified>
</cp:coreProperties>
</file>